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0C3399">
        <w:rPr>
          <w:sz w:val="28"/>
        </w:rPr>
        <w:t>Jeans mit Ermäßigung</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0C3399" w:rsidTr="000C3399">
        <w:tc>
          <w:tcPr>
            <w:tcW w:w="2466" w:type="dxa"/>
            <w:tcBorders>
              <w:top w:val="single" w:sz="4" w:space="0" w:color="auto"/>
            </w:tcBorders>
            <w:vAlign w:val="center"/>
          </w:tcPr>
          <w:p w:rsidR="000C3399" w:rsidRDefault="000C3399" w:rsidP="002C18AC">
            <w:pPr>
              <w:pStyle w:val="IQB-Merkmal"/>
            </w:pPr>
            <w:r>
              <w:t>Leitidee</w:t>
            </w:r>
          </w:p>
        </w:tc>
        <w:tc>
          <w:tcPr>
            <w:tcW w:w="6604" w:type="dxa"/>
            <w:tcBorders>
              <w:top w:val="single" w:sz="4" w:space="0" w:color="auto"/>
            </w:tcBorders>
          </w:tcPr>
          <w:p w:rsidR="000C3399" w:rsidRDefault="000C3399" w:rsidP="002C18AC">
            <w:pPr>
              <w:pStyle w:val="IQB-Merkmalswert"/>
            </w:pPr>
            <w:r>
              <w:t>1. Zahl</w:t>
            </w:r>
          </w:p>
        </w:tc>
      </w:tr>
      <w:tr w:rsidR="000C3399" w:rsidTr="000C3399">
        <w:tc>
          <w:tcPr>
            <w:tcW w:w="2466" w:type="dxa"/>
            <w:vAlign w:val="center"/>
          </w:tcPr>
          <w:p w:rsidR="000C3399" w:rsidRDefault="000C3399" w:rsidP="002C18AC">
            <w:pPr>
              <w:pStyle w:val="IQB-Merkmal"/>
            </w:pPr>
            <w:r>
              <w:t>Allgemeine Kompetenz</w:t>
            </w:r>
          </w:p>
        </w:tc>
        <w:tc>
          <w:tcPr>
            <w:tcW w:w="6604" w:type="dxa"/>
          </w:tcPr>
          <w:p w:rsidR="000C3399" w:rsidRDefault="000C3399" w:rsidP="002C18AC">
            <w:pPr>
              <w:pStyle w:val="IQB-Merkmalswert"/>
            </w:pPr>
            <w:r>
              <w:t>Mathematisches Modellieren (K3),</w:t>
            </w:r>
          </w:p>
          <w:p w:rsidR="000C3399" w:rsidRDefault="000C3399" w:rsidP="002C18AC">
            <w:pPr>
              <w:pStyle w:val="IQB-Merkmalswert"/>
            </w:pPr>
            <w:r>
              <w:t>Mit Mathematik symbolisch/ formal/ technisch umgehen (K5)</w:t>
            </w:r>
          </w:p>
        </w:tc>
      </w:tr>
      <w:tr w:rsidR="000C3399" w:rsidTr="000C3399">
        <w:tc>
          <w:tcPr>
            <w:tcW w:w="2466" w:type="dxa"/>
            <w:vAlign w:val="center"/>
          </w:tcPr>
          <w:p w:rsidR="000C3399" w:rsidRDefault="000C3399" w:rsidP="002C18AC">
            <w:pPr>
              <w:pStyle w:val="IQB-Merkmal"/>
            </w:pPr>
            <w:r>
              <w:t>Anforderungsbereich</w:t>
            </w:r>
          </w:p>
        </w:tc>
        <w:tc>
          <w:tcPr>
            <w:tcW w:w="6604" w:type="dxa"/>
          </w:tcPr>
          <w:p w:rsidR="000C3399" w:rsidRDefault="000C3399" w:rsidP="002C18AC">
            <w:pPr>
              <w:pStyle w:val="IQB-Merkmalswert"/>
            </w:pPr>
            <w:r>
              <w:t>I</w:t>
            </w:r>
          </w:p>
        </w:tc>
      </w:tr>
      <w:tr w:rsidR="000C3399" w:rsidTr="000C3399">
        <w:tc>
          <w:tcPr>
            <w:tcW w:w="2466" w:type="dxa"/>
            <w:tcBorders>
              <w:bottom w:val="single" w:sz="4" w:space="0" w:color="auto"/>
            </w:tcBorders>
            <w:vAlign w:val="center"/>
          </w:tcPr>
          <w:p w:rsidR="000C3399" w:rsidRDefault="000C3399" w:rsidP="002C18AC">
            <w:pPr>
              <w:pStyle w:val="IQB-Merkmal"/>
            </w:pPr>
            <w:r>
              <w:t>Kompetenzstufe</w:t>
            </w:r>
          </w:p>
        </w:tc>
        <w:tc>
          <w:tcPr>
            <w:tcW w:w="6604" w:type="dxa"/>
            <w:tcBorders>
              <w:bottom w:val="single" w:sz="4" w:space="0" w:color="auto"/>
            </w:tcBorders>
          </w:tcPr>
          <w:p w:rsidR="000C3399" w:rsidRDefault="000C3399" w:rsidP="002C18AC">
            <w:pPr>
              <w:pStyle w:val="IQB-Merkmalswert"/>
            </w:pPr>
            <w:r>
              <w:t>4</w:t>
            </w:r>
          </w:p>
        </w:tc>
      </w:tr>
    </w:tbl>
    <w:p w:rsidR="00694A63" w:rsidRPr="00694A63" w:rsidRDefault="00694A63" w:rsidP="00694A63">
      <w:pPr>
        <w:pStyle w:val="IQB-Teilaufgabentitel"/>
        <w:rPr>
          <w:b/>
        </w:rPr>
      </w:pPr>
      <w:r w:rsidRPr="00694A63">
        <w:rPr>
          <w:b/>
        </w:rPr>
        <w:t>Aufgabenbezogener Kommentar</w:t>
      </w:r>
    </w:p>
    <w:p w:rsidR="000C3399" w:rsidRPr="0056035D" w:rsidRDefault="000C3399" w:rsidP="000C3399">
      <w:pPr>
        <w:pStyle w:val="IQB-Standard"/>
        <w:rPr>
          <w:sz w:val="22"/>
          <w:szCs w:val="22"/>
        </w:rPr>
      </w:pPr>
      <w:r w:rsidRPr="0056035D">
        <w:rPr>
          <w:sz w:val="22"/>
          <w:szCs w:val="22"/>
        </w:rPr>
        <w:t>Diese Aufgabe wird der Leitidee Zahl (L1) zugeordnet, weil es hier um Prozentrechnung geht.</w:t>
      </w:r>
    </w:p>
    <w:p w:rsidR="000C3399" w:rsidRPr="0056035D" w:rsidRDefault="000C3399" w:rsidP="000C3399">
      <w:pPr>
        <w:pStyle w:val="IQB-Standard"/>
        <w:rPr>
          <w:sz w:val="22"/>
          <w:szCs w:val="22"/>
        </w:rPr>
      </w:pPr>
      <w:r w:rsidRPr="0056035D">
        <w:rPr>
          <w:sz w:val="22"/>
          <w:szCs w:val="22"/>
        </w:rPr>
        <w:t>In der Aufgabenstellung ist der Preis einer Jeanshose nach einer Ermäßigung um 20 Prozent gegeben und es soll angegeben werden, wie teuer die Jeanshose vor der Preisreduzierung war. Es soll also eine realitätsbezogene Frage beantwortet werden (K3). Die Schülerinnen und Schüler können etwa davon ausgehen, dass der gegebene neue Jeanspreis 80% des ursprünglichen Preises beträgt. Dann lässt sich der gesuchte Grundwert beispielsweise mit der Dreisatzmethode oder mithilfe der Prozentformel aus dem Prozentwert und dem Prozentsatz berechnen (K5).</w:t>
      </w:r>
    </w:p>
    <w:p w:rsidR="000C3399" w:rsidRPr="000C3399" w:rsidRDefault="000C3399" w:rsidP="000C3399">
      <w:pPr>
        <w:spacing w:before="60"/>
        <w:rPr>
          <w:rFonts w:ascii="Arial" w:hAnsi="Arial" w:cs="Arial"/>
          <w:sz w:val="22"/>
          <w:szCs w:val="22"/>
        </w:rPr>
      </w:pPr>
      <w:r w:rsidRPr="000C3399">
        <w:rPr>
          <w:rFonts w:ascii="Arial" w:hAnsi="Arial" w:cs="Arial"/>
          <w:sz w:val="22"/>
          <w:szCs w:val="22"/>
        </w:rPr>
        <w:t>Da die Aufgabe unter Rückgriff auf ein mathematisches Standardmodell und Standardverfahren der Prozentrechnung gelöst werden kann, wird sie dem Anforderungsbereich I zugeordnet.</w:t>
      </w:r>
    </w:p>
    <w:p w:rsidR="00694A63" w:rsidRPr="00694A63" w:rsidRDefault="00694A63" w:rsidP="00694A63">
      <w:pPr>
        <w:pStyle w:val="IQB-Teilaufgabentitel"/>
        <w:rPr>
          <w:b/>
        </w:rPr>
      </w:pPr>
      <w:r w:rsidRPr="00694A63">
        <w:rPr>
          <w:b/>
        </w:rPr>
        <w:t>Anregungen für den Unterricht</w:t>
      </w:r>
    </w:p>
    <w:p w:rsidR="000C3399" w:rsidRPr="0056035D" w:rsidRDefault="000C3399" w:rsidP="000C3399">
      <w:pPr>
        <w:pStyle w:val="IQB-Standard"/>
        <w:rPr>
          <w:sz w:val="22"/>
          <w:szCs w:val="22"/>
        </w:rPr>
      </w:pPr>
      <w:r w:rsidRPr="0056035D">
        <w:rPr>
          <w:sz w:val="22"/>
          <w:szCs w:val="22"/>
        </w:rPr>
        <w:t>Soll im Unterricht noch einmal auf die Aufgabe zurückgeblickt werden, so empfiehlt es sich, die Antwortmöglichkeiten einzeln zu thematisieren. Die Lehrkraft kann an die Schülerinnen und Schüler mit der Frage herantreten, welche Fehler wohl zu den falschen Antworten (die ersten drei und das letzte Kästchen) geführt haben. So erhellt sich, dass z.</w:t>
      </w:r>
      <w:r>
        <w:rPr>
          <w:sz w:val="11"/>
          <w:szCs w:val="11"/>
        </w:rPr>
        <w:t> </w:t>
      </w:r>
      <w:r w:rsidRPr="0056035D">
        <w:rPr>
          <w:sz w:val="22"/>
          <w:szCs w:val="22"/>
        </w:rPr>
        <w:t>B. das Vertauschen von altem und neue</w:t>
      </w:r>
      <w:r>
        <w:rPr>
          <w:sz w:val="22"/>
          <w:szCs w:val="22"/>
        </w:rPr>
        <w:t>m Preis zur Antwortmöglichkeit eins</w:t>
      </w:r>
      <w:r w:rsidRPr="0056035D">
        <w:rPr>
          <w:sz w:val="22"/>
          <w:szCs w:val="22"/>
        </w:rPr>
        <w:t xml:space="preserve"> geführt hat u</w:t>
      </w:r>
      <w:r>
        <w:rPr>
          <w:sz w:val="22"/>
          <w:szCs w:val="22"/>
        </w:rPr>
        <w:t>nd in Antwortmöglichkeit drei der n</w:t>
      </w:r>
      <w:r w:rsidRPr="0056035D">
        <w:rPr>
          <w:sz w:val="22"/>
          <w:szCs w:val="22"/>
        </w:rPr>
        <w:t>eue Preis als Grundwert angesehen und der alte Preis dann mit dem Prozentsatz 120 ermittelt wurde.</w:t>
      </w:r>
    </w:p>
    <w:p w:rsidR="000C3399" w:rsidRPr="0056035D" w:rsidRDefault="000C3399" w:rsidP="000C3399">
      <w:pPr>
        <w:pStyle w:val="IQB-Standard"/>
        <w:rPr>
          <w:sz w:val="22"/>
          <w:szCs w:val="22"/>
        </w:rPr>
      </w:pPr>
      <w:r w:rsidRPr="0056035D">
        <w:rPr>
          <w:sz w:val="22"/>
          <w:szCs w:val="22"/>
        </w:rPr>
        <w:t>Durch dieses Vorgehen werden die Begriffe Grundwert, Prozentwert und Prozentsatz noch einmal wiederholt. Anschließend können die Schülerinnen und Schüler dann z.</w:t>
      </w:r>
      <w:r>
        <w:rPr>
          <w:sz w:val="11"/>
          <w:szCs w:val="11"/>
        </w:rPr>
        <w:t> </w:t>
      </w:r>
      <w:r w:rsidRPr="0056035D">
        <w:rPr>
          <w:sz w:val="22"/>
          <w:szCs w:val="22"/>
        </w:rPr>
        <w:t>B. Anwendungsaufgaben zur Prozentrechnung bearbeiten, bei denen falsche Lösungen erklärt werden sollen. Hierdurch würde neben den zuvor genannten Kompetenzen auch das Mathematische Argumentieren (K1) gefördert werden.</w:t>
      </w:r>
    </w:p>
    <w:p w:rsidR="000C3399" w:rsidRPr="0056035D" w:rsidRDefault="000C3399" w:rsidP="000C3399">
      <w:pPr>
        <w:pStyle w:val="IQB-Standard"/>
        <w:rPr>
          <w:sz w:val="22"/>
          <w:szCs w:val="22"/>
        </w:rPr>
      </w:pPr>
      <w:r w:rsidRPr="0056035D">
        <w:rPr>
          <w:sz w:val="22"/>
          <w:szCs w:val="22"/>
        </w:rPr>
        <w:t>Besonders motivierend sind hierbei Zeitungsartikel und Werbeanzeigen, in denen korrekte und fehlerhafte Prozentangaben enthalten sind (vgl. Scholz 2002). Die Daten müssen hier von den Lernenden zunächst mathematisch aufbereitet werden, bevor sich Formeln oder Verfahren anwenden lassen. Die Prozentangaben müssen dabei in ihrem Verwendungszusammenhang interpretiert werden. Insofern sind derartige Aufgaben insbesondere auch dazu geeignet, die Kompetenz Mathematisches Modellieren (K3) zu fördern. Zu fehlerhaften Artikeln könnte man die Schülerinnen und Schüler weiterhin richtigstellende Leserbriefe schreiben lassen, um zudem die Kompetenzen Mathematisches Argumentieren (K1) und Mathematisches Kommunizieren (K6) zu fördern.</w:t>
      </w:r>
    </w:p>
    <w:p w:rsidR="000C3399" w:rsidRPr="0056035D" w:rsidRDefault="000C3399" w:rsidP="000C3399">
      <w:pPr>
        <w:pStyle w:val="IQB-Standard"/>
        <w:rPr>
          <w:sz w:val="22"/>
          <w:szCs w:val="22"/>
        </w:rPr>
      </w:pPr>
      <w:r w:rsidRPr="0056035D">
        <w:rPr>
          <w:sz w:val="22"/>
          <w:szCs w:val="22"/>
        </w:rPr>
        <w:t>Geeignete Zeitungsartikel und Werbeanzeigen können entweder selbst geschrieben werden oder man durchsucht die Zeitungen und Prospekte nach echten Ausschnitten, die für eine Behandlung im Unterricht geeignet sind. Letzteres ist zwar mit einem ungleich höheren Aufwand verbunden, aber für die Lernenden äußerst motivierend (für weitere Anregun</w:t>
      </w:r>
      <w:r w:rsidRPr="0056035D">
        <w:rPr>
          <w:sz w:val="22"/>
          <w:szCs w:val="22"/>
        </w:rPr>
        <w:softHyphen/>
        <w:t>gen siehe auch Scholz 2002: Die Neue Morgenpost - Prozente aus der Zeitung; In: Mathematik lehren, Nr.113).</w:t>
      </w:r>
    </w:p>
    <w:p w:rsidR="000C3399" w:rsidRDefault="000C3399" w:rsidP="000C3399">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0C3399" w:rsidTr="002C18AC">
        <w:tc>
          <w:tcPr>
            <w:tcW w:w="9286" w:type="dxa"/>
            <w:vAlign w:val="center"/>
          </w:tcPr>
          <w:p w:rsidR="000C3399" w:rsidRPr="002D2F0C" w:rsidRDefault="000C3399" w:rsidP="002C18AC">
            <w:pPr>
              <w:jc w:val="center"/>
              <w:rPr>
                <w:sz w:val="22"/>
                <w:szCs w:val="22"/>
              </w:rPr>
            </w:pPr>
            <w:r>
              <w:rPr>
                <w:noProof/>
              </w:rPr>
              <w:lastRenderedPageBreak/>
              <mc:AlternateContent>
                <mc:Choice Requires="wps">
                  <w:drawing>
                    <wp:anchor distT="0" distB="0" distL="114299" distR="114299" simplePos="0" relativeHeight="251660288" behindDoc="0" locked="0" layoutInCell="1" allowOverlap="1">
                      <wp:simplePos x="0" y="0"/>
                      <wp:positionH relativeFrom="column">
                        <wp:posOffset>-141605</wp:posOffset>
                      </wp:positionH>
                      <wp:positionV relativeFrom="paragraph">
                        <wp:posOffset>-85090</wp:posOffset>
                      </wp:positionV>
                      <wp:extent cx="1905" cy="5010785"/>
                      <wp:effectExtent l="34925" t="36195" r="29845" b="29845"/>
                      <wp:wrapNone/>
                      <wp:docPr id="11" name="Freihandform: 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 cy="5010785"/>
                              </a:xfrm>
                              <a:custGeom>
                                <a:avLst/>
                                <a:gdLst>
                                  <a:gd name="T0" fmla="*/ 0 w 3"/>
                                  <a:gd name="T1" fmla="*/ 0 h 7891"/>
                                  <a:gd name="T2" fmla="*/ 3 w 3"/>
                                  <a:gd name="T3" fmla="*/ 7891 h 7891"/>
                                </a:gdLst>
                                <a:ahLst/>
                                <a:cxnLst>
                                  <a:cxn ang="0">
                                    <a:pos x="T0" y="T1"/>
                                  </a:cxn>
                                  <a:cxn ang="0">
                                    <a:pos x="T2" y="T3"/>
                                  </a:cxn>
                                </a:cxnLst>
                                <a:rect l="0" t="0" r="r" b="b"/>
                                <a:pathLst>
                                  <a:path w="3" h="7891">
                                    <a:moveTo>
                                      <a:pt x="0" y="0"/>
                                    </a:moveTo>
                                    <a:lnTo>
                                      <a:pt x="3" y="7891"/>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52804AB" id="Freihandform: Form 11"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11.15pt,-6.7pt,-11pt,387.85pt" coordsize="3,7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C26CwMAAKAGAAAOAAAAZHJzL2Uyb0RvYy54bWysVWFv2jAQ/T5p/8Hyx0k0CYQCUUO1AZkm&#10;dVulsh9gHIdES+zMNoRu2n/f+ZLQ0G7SNA0kc85dzu/d8x03t6eqJEehTaFkTIMrnxIhuUoLuY/p&#10;l20ymlNiLJMpK5UUMX0Uht4uX7+6aepIjFWuylRoAkmkiZo6prm1deR5hueiYuZK1UKCM1O6Yha2&#10;eu+lmjWQvSq9se9fe43Saa0VF8bA03XrpEvMn2WC289ZZoQlZUwBm8VV47pzq7e8YdFeszoveAeD&#10;/QOKihUSDj2nWjPLyEEXL1JVBdfKqMxecVV5KssKLpADsAn8Z2weclYL5ALFMfW5TOb/peWfjvea&#10;FCloF1AiWQUaJVoUOUjmqh6RBFYCTqhUU5sIXnio77Xjauo7xb8acHgXHrcxEEN2zUeVQkJ2sAqr&#10;c8p05d4E3uSEIjyeRRAnSzg8DBb+lBIOjilUZDafupM9FvXv8oOx74XCPOx4Z2wrYQoWCpB2LLYg&#10;d1aVoOYbj/ikIZNO7HMAEB4E5GQ2XyBNUPEcMx7ETH6XZDIIcAnIUx4Ave9hsbxHyk+ygwoWYa5P&#10;fCxOrYwrisMN5LcIBVJAlOP1h2DA54KRWx/c/naHaGiB55dfUwKXf9fWo2bWYXNnOJM0MQVOeUyx&#10;HO5xpY5iqzDAPpMNjnrylnIYBUkAWV9TCGzdYLhjUNLz0Q7xQFapkqIsUddSOkDTWTCFsrByD0OG&#10;W431MqosUhfokBm9361KTY4MGv1d4r7dvbkI0+ogU0ycC5ZuOtuyomxthOnywW3siuLuJXbyj4W/&#10;2Mw383AUjq83o9Bfr0dvk1U4uk6C2XQ9Wa9W6+CngxaEUV6kqZAOXT9VgvDvurabb+08OM+VCxYX&#10;ZBP8vCTrXcLAggOX/hfZYd+6Vm17e6fSR2hbrdoxCWMdjFzp75Q0MCJjar4dmBaUlB8kzKBFEIZu&#10;puImnM7GsNFDz27oYZJDqpha0BHNlW3n8KHWxT6HkwKUVaq3MC6ywvU14mtRdRsYg8igG9luzg73&#10;GPX0x7L8BQAA//8DAFBLAwQUAAYACAAAACEAsbWqNuAAAAALAQAADwAAAGRycy9kb3ducmV2Lnht&#10;bEyPQU/DMAyF70j8h8hIXKYtXQcUlabTQOLAhcE2cU5bt6lonKjJtvLvMadxs/2enr9XrCc7iBOO&#10;oXekYLlIQCDVrumpU3DYv84fQYSoqdGDI1TwgwHW5fVVofPGnekTT7vYCQ6hkGsFJkafSxlqg1aH&#10;hfNIrLVutDryOnayGfWZw+0g0yR5kFb3xB+M9vhisP7eHa2CTUje/MczVcMMW/Szr+3WvLdK3d5M&#10;mycQEad4McMfPqNDyUyVO1ITxKBgnqYrtvKwXN2BYAdfuF2lIMvuM5BlIf93KH8BAAD//wMAUEsB&#10;Ai0AFAAGAAgAAAAhALaDOJL+AAAA4QEAABMAAAAAAAAAAAAAAAAAAAAAAFtDb250ZW50X1R5cGVz&#10;XS54bWxQSwECLQAUAAYACAAAACEAOP0h/9YAAACUAQAACwAAAAAAAAAAAAAAAAAvAQAAX3JlbHMv&#10;LnJlbHNQSwECLQAUAAYACAAAACEAnPQtugsDAACgBgAADgAAAAAAAAAAAAAAAAAuAgAAZHJzL2Uy&#10;b0RvYy54bWxQSwECLQAUAAYACAAAACEAsbWqNuAAAAALAQAADwAAAAAAAAAAAAAAAABlBQAAZHJz&#10;L2Rvd25yZXYueG1sUEsFBgAAAAAEAAQA8wAAAHIGAAAAAA==&#10;" filled="f" strokecolor="#bfbfbf" strokeweight="4.5pt">
                      <v:path arrowok="t" o:connecttype="custom" o:connectlocs="0,0;1905,5010785" o:connectangles="0,0"/>
                    </v:polyline>
                  </w:pict>
                </mc:Fallback>
              </mc:AlternateContent>
            </w:r>
            <w:r w:rsidRPr="001E33DE">
              <w:rPr>
                <w:noProof/>
              </w:rPr>
              <w:drawing>
                <wp:inline distT="0" distB="0" distL="0" distR="0">
                  <wp:extent cx="2101850" cy="244602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8">
                            <a:extLst>
                              <a:ext uri="{28A0092B-C50C-407E-A947-70E740481C1C}">
                                <a14:useLocalDpi xmlns:a14="http://schemas.microsoft.com/office/drawing/2010/main" val="0"/>
                              </a:ext>
                            </a:extLst>
                          </a:blip>
                          <a:srcRect r="-6886"/>
                          <a:stretch>
                            <a:fillRect/>
                          </a:stretch>
                        </pic:blipFill>
                        <pic:spPr bwMode="auto">
                          <a:xfrm>
                            <a:off x="0" y="0"/>
                            <a:ext cx="2101850" cy="2446020"/>
                          </a:xfrm>
                          <a:prstGeom prst="rect">
                            <a:avLst/>
                          </a:prstGeom>
                          <a:noFill/>
                          <a:ln>
                            <a:noFill/>
                          </a:ln>
                        </pic:spPr>
                      </pic:pic>
                    </a:graphicData>
                  </a:graphic>
                </wp:inline>
              </w:drawing>
            </w:r>
            <w:r w:rsidRPr="001E33DE">
              <w:rPr>
                <w:noProof/>
              </w:rPr>
              <w:drawing>
                <wp:inline distT="0" distB="0" distL="0" distR="0">
                  <wp:extent cx="2125980" cy="2434590"/>
                  <wp:effectExtent l="0" t="0" r="0" b="381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9">
                            <a:extLst>
                              <a:ext uri="{28A0092B-C50C-407E-A947-70E740481C1C}">
                                <a14:useLocalDpi xmlns:a14="http://schemas.microsoft.com/office/drawing/2010/main" val="0"/>
                              </a:ext>
                            </a:extLst>
                          </a:blip>
                          <a:srcRect r="-6888"/>
                          <a:stretch>
                            <a:fillRect/>
                          </a:stretch>
                        </pic:blipFill>
                        <pic:spPr bwMode="auto">
                          <a:xfrm>
                            <a:off x="0" y="0"/>
                            <a:ext cx="2125980" cy="2434590"/>
                          </a:xfrm>
                          <a:prstGeom prst="rect">
                            <a:avLst/>
                          </a:prstGeom>
                          <a:noFill/>
                          <a:ln>
                            <a:noFill/>
                          </a:ln>
                        </pic:spPr>
                      </pic:pic>
                    </a:graphicData>
                  </a:graphic>
                </wp:inline>
              </w:drawing>
            </w:r>
            <w:r w:rsidRPr="001E33DE">
              <w:rPr>
                <w:noProof/>
              </w:rPr>
              <w:drawing>
                <wp:inline distT="0" distB="0" distL="0" distR="0">
                  <wp:extent cx="1710055" cy="2422525"/>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0055" cy="2422525"/>
                          </a:xfrm>
                          <a:prstGeom prst="rect">
                            <a:avLst/>
                          </a:prstGeom>
                          <a:noFill/>
                          <a:ln>
                            <a:noFill/>
                          </a:ln>
                        </pic:spPr>
                      </pic:pic>
                    </a:graphicData>
                  </a:graphic>
                </wp:inline>
              </w:drawing>
            </w:r>
          </w:p>
        </w:tc>
      </w:tr>
    </w:tbl>
    <w:p w:rsidR="00694A63" w:rsidRPr="007E6CC0" w:rsidRDefault="00694A63" w:rsidP="009C235D">
      <w:pPr>
        <w:pStyle w:val="IQB-Standard"/>
        <w:rPr>
          <w:sz w:val="22"/>
          <w:szCs w:val="22"/>
        </w:rPr>
      </w:pPr>
      <w:bookmarkStart w:id="0" w:name="_GoBack"/>
      <w:bookmarkEnd w:id="0"/>
    </w:p>
    <w:sectPr w:rsidR="00694A63" w:rsidRPr="007E6CC0"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D59D099E-4A97-4983-A54E-36B2577C9311}"/>
    <w:embedBold r:id="rId2" w:fontKey="{A6E99FAE-9935-43FE-9441-EC15875E8AF8}"/>
    <w:embedBoldItalic r:id="rId3" w:fontKey="{C2998691-B0C0-4443-9E85-7AC30021C60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6"/>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C3399"/>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3EEA9BB6"/>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C1B723-B88E-4C55-BA91-C2AF95D2F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425</Words>
  <Characters>2812</Characters>
  <Application>Microsoft Office Word</Application>
  <DocSecurity>0</DocSecurity>
  <Lines>90</Lines>
  <Paragraphs>50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2025-05-22T13:45:00Z</dcterms:created>
  <dcterms:modified xsi:type="dcterms:W3CDTF">2025-05-22T13:45:00Z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